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8B92F" w14:textId="77777777"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150323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9C171F">
        <w:rPr>
          <w:rFonts w:ascii="Times New Roman" w:hAnsi="Times New Roman" w:cs="Times New Roman"/>
          <w:sz w:val="24"/>
          <w:szCs w:val="24"/>
        </w:rPr>
        <w:t>ОСНОВНЫЕ НОВЕЛЛЫ</w:t>
      </w:r>
    </w:p>
    <w:p w14:paraId="6C261EFE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В МЕТОДИЧЕСКИХ РЕКОМЕНДАЦИЯХ ПО ВОПРОСАМ ПРЕДСТАВЛЕНИЯ</w:t>
      </w:r>
    </w:p>
    <w:p w14:paraId="0D7FE8D8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СВЕДЕНИЙ О ДОХОДАХ, РАСХОДАХ, ОБ ИМУЩЕСТВЕ И ОБЯЗАТЕЛЬСТВАХ</w:t>
      </w:r>
    </w:p>
    <w:p w14:paraId="7F144F9A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ИМУЩЕСТВЕННОГО ХАРАКТЕРА И ЗАПОЛНЕНИЯ СООТВЕТСТВУЮЩЕЙ</w:t>
      </w:r>
    </w:p>
    <w:p w14:paraId="493EBC6F" w14:textId="77777777" w:rsidR="009C171F" w:rsidRPr="009C171F" w:rsidRDefault="009C17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ФОРМЫ СПРАВКИ В 202</w:t>
      </w:r>
      <w:r w:rsidR="004607FE">
        <w:rPr>
          <w:rFonts w:ascii="Times New Roman" w:hAnsi="Times New Roman" w:cs="Times New Roman"/>
          <w:sz w:val="24"/>
          <w:szCs w:val="24"/>
        </w:rPr>
        <w:t>5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ГОДУ (ЗА ОТЧЕТНЫЙ 202</w:t>
      </w:r>
      <w:r w:rsidR="004607FE">
        <w:rPr>
          <w:rFonts w:ascii="Times New Roman" w:hAnsi="Times New Roman" w:cs="Times New Roman"/>
          <w:sz w:val="24"/>
          <w:szCs w:val="24"/>
        </w:rPr>
        <w:t>4</w:t>
      </w:r>
      <w:r w:rsidRPr="009C171F">
        <w:rPr>
          <w:rFonts w:ascii="Times New Roman" w:hAnsi="Times New Roman" w:cs="Times New Roman"/>
          <w:sz w:val="24"/>
          <w:szCs w:val="24"/>
        </w:rPr>
        <w:t xml:space="preserve"> ГОД)</w:t>
      </w:r>
    </w:p>
    <w:p w14:paraId="06CFC0F9" w14:textId="77777777" w:rsidR="009C171F" w:rsidRPr="009C171F" w:rsidRDefault="009C17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2AD158" w14:textId="77777777" w:rsidR="009C171F" w:rsidRDefault="009C171F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71F">
        <w:rPr>
          <w:rFonts w:ascii="Times New Roman" w:hAnsi="Times New Roman" w:cs="Times New Roman"/>
          <w:sz w:val="24"/>
          <w:szCs w:val="24"/>
        </w:rPr>
        <w:t>Министерством труда и социальной защиты Российской Федерации ежегодно обновляются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соответственно - Методические рекомендации, сведения о доходах). Обновленная редакция М</w:t>
      </w:r>
      <w:r w:rsidR="004607FE">
        <w:rPr>
          <w:rFonts w:ascii="Times New Roman" w:hAnsi="Times New Roman" w:cs="Times New Roman"/>
          <w:sz w:val="24"/>
          <w:szCs w:val="24"/>
        </w:rPr>
        <w:t>етодических рекомендаций размещ</w:t>
      </w:r>
      <w:r w:rsidRPr="009C171F">
        <w:rPr>
          <w:rFonts w:ascii="Times New Roman" w:hAnsi="Times New Roman" w:cs="Times New Roman"/>
          <w:sz w:val="24"/>
          <w:szCs w:val="24"/>
        </w:rPr>
        <w:t>е</w:t>
      </w:r>
      <w:r w:rsidR="004607FE">
        <w:rPr>
          <w:rFonts w:ascii="Times New Roman" w:hAnsi="Times New Roman" w:cs="Times New Roman"/>
          <w:sz w:val="24"/>
          <w:szCs w:val="24"/>
        </w:rPr>
        <w:t>на</w:t>
      </w:r>
      <w:r w:rsidRPr="009C171F">
        <w:rPr>
          <w:rFonts w:ascii="Times New Roman" w:hAnsi="Times New Roman" w:cs="Times New Roman"/>
          <w:sz w:val="24"/>
          <w:szCs w:val="24"/>
        </w:rPr>
        <w:t xml:space="preserve"> на официальном сайте Минтруда России.</w:t>
      </w:r>
    </w:p>
    <w:p w14:paraId="64AE0258" w14:textId="77777777" w:rsidR="009C171F" w:rsidRPr="009C171F" w:rsidRDefault="004607FE" w:rsidP="004607FE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етодические </w:t>
      </w:r>
      <w:hyperlink r:id="rId4">
        <w:r w:rsidR="009C171F" w:rsidRPr="009C171F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для применения в ходе декларационной кампании 202</w:t>
      </w:r>
      <w:r w:rsidR="009C171F">
        <w:rPr>
          <w:rFonts w:ascii="Times New Roman" w:hAnsi="Times New Roman" w:cs="Times New Roman"/>
          <w:sz w:val="24"/>
          <w:szCs w:val="24"/>
        </w:rPr>
        <w:t>5 года (за отчетный 2024</w:t>
      </w:r>
      <w:r w:rsidR="009C171F" w:rsidRPr="009C171F">
        <w:rPr>
          <w:rFonts w:ascii="Times New Roman" w:hAnsi="Times New Roman" w:cs="Times New Roman"/>
          <w:sz w:val="24"/>
          <w:szCs w:val="24"/>
        </w:rPr>
        <w:t xml:space="preserve">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14:paraId="029CE10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актуализированы с учетом изменений нормативных правовых актов Российской Федерации и подлежат применению в рамках декларационной кампании 2025 года (за отчетный 2024 год), а также при предоставлении сведений о доходах кандидатами, претендующими на замещение соответствующих должностей.</w:t>
      </w:r>
    </w:p>
    <w:p w14:paraId="5771BB6F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Методические рекомендации дополнены следующими положениями, требующими особого внимания лиц, представляющих сведения о доходах,</w:t>
      </w:r>
      <w:r w:rsidRPr="004607FE">
        <w:t xml:space="preserve"> расходах, об имуществе и обязательствах имущественного характера</w:t>
      </w:r>
      <w:r>
        <w:t>:</w:t>
      </w:r>
    </w:p>
    <w:p w14:paraId="41306EC3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1) заявление о невозможности по объективным причинам представить сведения о доходах в отношении супруг (супругов) и (или) несовершеннолетних детей может быть подано служащим при предоставлении им сведений о доходах в случае назначения на должность, предусмотренную перечнем должностей, при замещении которых служащие обязаны представлять сведения о доходах, а также сведения о доходах своих супруги (супруга) и несовершеннолетних детей (при переводе с должности, не включенной в такой перечень);</w:t>
      </w:r>
    </w:p>
    <w:p w14:paraId="7A160CB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2) указаны наиболее востребованные документы, на основании которых рекомендуется заполнять справку о доходах, и источники информации, где такие документы могут быть получены (к примеру, справку о доходах и суммах налога физического лица можно получить через Личный кабинет налогоплательщика (</w:t>
      </w:r>
      <w:r w:rsidRPr="004443F8">
        <w:t xml:space="preserve">официальный сайт </w:t>
      </w:r>
      <w:hyperlink r:id="rId5" w:history="1">
        <w:r w:rsidRPr="0026112D">
          <w:rPr>
            <w:rStyle w:val="a3"/>
          </w:rPr>
          <w:t>https://lkfl2.nalog.ru/lkfl</w:t>
        </w:r>
      </w:hyperlink>
      <w:r>
        <w:t xml:space="preserve">), справку о размере пенсии и иных социальных выплат (в том числе о пособии по временной нетрудоспособности) можно получить через Личный кабинет налогоплательщика (официальный сайт </w:t>
      </w:r>
      <w:hyperlink r:id="rId6" w:history="1">
        <w:r w:rsidRPr="0026112D">
          <w:rPr>
            <w:rStyle w:val="a3"/>
          </w:rPr>
          <w:t>https://lkfl2.nalog.ru/lkfl</w:t>
        </w:r>
      </w:hyperlink>
      <w:r>
        <w:t>) или посредством официального сайта Фонда пенсионного и социального страхования Российской Федерации (</w:t>
      </w:r>
      <w:hyperlink r:id="rId7" w:history="1">
        <w:r w:rsidRPr="0026112D">
          <w:rPr>
            <w:rStyle w:val="a3"/>
          </w:rPr>
          <w:t>https://sfr.gov.ru/</w:t>
        </w:r>
      </w:hyperlink>
      <w:r>
        <w:t xml:space="preserve"> и так далее) (пункт 49 Методических рекомендаций);</w:t>
      </w:r>
    </w:p>
    <w:p w14:paraId="3AF305E6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3) Минтруд России не является разработчиком специального программного обеспечения «Справки БК» (далее – СПО «Справки БК»), в связи с чем все вопросы, связанные с техническим обслуживанием и функционалом СПО «Справки БК» целесообразно направлять в адрес разработчика – Федеральной службы охраны Российской Федерации; </w:t>
      </w:r>
    </w:p>
    <w:p w14:paraId="18362997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4) законодательством Российской Федерации не предусмотрена возможность подписания справки о доходах иным лицом вместо служащего (работника), представляющего справку о доходах; </w:t>
      </w:r>
    </w:p>
    <w:p w14:paraId="70E641F2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5) при применении в ходе осуществления предпринимательской деятельности автоматизированной упрощенной системы налогообложения (</w:t>
      </w:r>
      <w:proofErr w:type="spellStart"/>
      <w:r>
        <w:t>АвтоУСН</w:t>
      </w:r>
      <w:proofErr w:type="spellEnd"/>
      <w:r>
        <w:t xml:space="preserve">) в качестве </w:t>
      </w:r>
      <w:r>
        <w:lastRenderedPageBreak/>
        <w:t>(дохода) указывается сумма полученных доходов (независимо от объекта налогообложения) за налоговые периоды отчетного года;</w:t>
      </w:r>
    </w:p>
    <w:p w14:paraId="4C7CD4A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6) в разделе 1 «Сведения о доходах» справки о доходах помимо иных товаров, услуг, полученных в натуральной форме, не подлежит отражению цифровая валюта, полученная в результате осуществления майнинга (законодательством Российской Федерации о налогах и сборах такая цифровая валюта отнесена к доходам, полученным в натуральной форме). Цифровая валюта, полученная в результате майнинга, как и цифровая валюта, полученная по иным основаниям (например, куплена, получена в дар и так далее), при ее наличии в собственности подлежит указанию в подразделе 3.5 «Цифровая валюта») раздела 3 «Сведения об имуществе» справки о доходах;</w:t>
      </w:r>
    </w:p>
    <w:p w14:paraId="6BF7E31C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7) в разделе 1 «Сведения о доходах» справки о доходах не указываются (в том числе, в случае наличия сведений о таких денежных средствах в информации, полученной в рамках Указанием Банка России от 27 мая 2021 года № 5798-У «О порядке предоставления кредитными организациями и </w:t>
      </w:r>
      <w:proofErr w:type="spellStart"/>
      <w:r w:rsidR="00CC7CB8"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 по единой форме предоставления сведений и порядке ее заполнения» (далее - Указание № 5798-У));</w:t>
      </w:r>
    </w:p>
    <w:p w14:paraId="1FD0A974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8) помимо граждан, поступающих на службу (работу), раздел 2 «Сведения о расходах</w:t>
      </w:r>
      <w:r w:rsidR="00CC7CB8">
        <w:t>»</w:t>
      </w:r>
      <w:r>
        <w:t xml:space="preserve"> справки о доходах не подлежит заполнению:</w:t>
      </w:r>
    </w:p>
    <w:p w14:paraId="2301796B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служащими, замещающими должности, не предусмотренные перечнем, при предоставлении ими сведений о доходах в случае назначения на должность, предусмотренную перечнем; </w:t>
      </w:r>
    </w:p>
    <w:p w14:paraId="0A9BD325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депутатами представительных органов муниципальных образований в течение четырех месяцев со дня избрания и осуществляющими свои полномочия на непостоянной основе, или со дня передачи вакантного депутатского мандата;</w:t>
      </w:r>
    </w:p>
    <w:p w14:paraId="16FFDAA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9) сведения об источнике средств, за счет которых приобретено недвижимое имущество, находящееся в пределах территории Российской Федерации, в подразделе 3.1 «Недвижимое имущество» раздела 3 «Сведения об имуществе» справки о доходах не указываются (достаточно отразить реквизиты свидетельства о государственной регистрации права на недвижимое имущество или номер и дату государственной регистрации права, а также наименование и реквизиты документа, являющегося основанием для приобретения права собственности на недвижимое имущество);</w:t>
      </w:r>
    </w:p>
    <w:p w14:paraId="70750D70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10) вид, марка, модель транспортного средства, год изготовления заполняются согласно официальным документам (например, согласно паспорту транспортного средства или свидетельству о регистрации транспортного средства);</w:t>
      </w:r>
    </w:p>
    <w:p w14:paraId="559185C9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11) в целях оценки необходимости заполнения графы б «Сумма поступивших на счет денежных средств (руб.)» раздела 4 «Сведения о счетах в банках и иных кредитных организациях» справки о доходах при расчете общего дохода служащего (работника), его супруги (супруга) и несовершеннолетних детей за отчетный период и два предшествующих ему года, доходы супруги (супруга) служащего (работника) учитываются только в случае, если они состояли в браке на отчетную дату и в течение двух и более лет, предшествующих отчетному периоду (аналогично в отношении супруги (супруга). Во </w:t>
      </w:r>
      <w:bookmarkStart w:id="1" w:name="_GoBack"/>
      <w:bookmarkEnd w:id="1"/>
      <w:r>
        <w:t>всех остальных случаях учитывается только доход служащего (работника) за отчетный период и два предшествующих ему года (аналогично в отношении супруги (супруга);</w:t>
      </w:r>
    </w:p>
    <w:p w14:paraId="4AC652DA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 w:rsidRPr="002814DA">
        <w:t>12) в разделе 4 «Сведения о счетах в банках и иных кредитных организациях» справки о доходах не подлежат отражению сведения о заключении договора долгосрочных сбережений в соответствии с Федеральным законом от 7 мая 1998 года № 75-ФЗ «О негосударственных пенсионных фондах»;</w:t>
      </w:r>
    </w:p>
    <w:p w14:paraId="35653F13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 xml:space="preserve">13) в информации, представляемой Федеральной налоговой службой Российской Федерации, могут указываться электронные средства платежа (ЭСП), но это не требует их </w:t>
      </w:r>
      <w:r>
        <w:lastRenderedPageBreak/>
        <w:t>отражения в разделе 4 «Сведения о счетах в банках и иных кредитных организациях» справки о доходах;</w:t>
      </w:r>
    </w:p>
    <w:p w14:paraId="0831997E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14) в случае реорганизации кредитной организации в форме слияния, присоединения или преобразования следует обращаться в банк или кредитную организацию, созданную по результатам реорганизации, в рамках Указания № 5798-У;</w:t>
      </w:r>
    </w:p>
    <w:p w14:paraId="71DA253A" w14:textId="77777777" w:rsidR="004607FE" w:rsidRDefault="004607FE" w:rsidP="004607FE">
      <w:pPr>
        <w:tabs>
          <w:tab w:val="left" w:pos="709"/>
          <w:tab w:val="center" w:pos="4771"/>
        </w:tabs>
        <w:ind w:firstLine="709"/>
        <w:jc w:val="both"/>
      </w:pPr>
      <w:r>
        <w:t>15) к обязательствам в соответствии с Законом Российской Федерации от 27 ноября 1992 года № 4015-1 «Об организации страхового дела в Российской Федерации» не относится и не подлежит отражению в подразделе 6.2 «Срочные обязательства финансового характера» раздела б «Сведения об обязательствах имущественного характера» справки о доходах договор негосударственного пенсионного обеспечения, заключенный с негосударственным пенсионным фондом.</w:t>
      </w:r>
    </w:p>
    <w:p w14:paraId="58D31396" w14:textId="77777777" w:rsidR="00CC7CB8" w:rsidRDefault="00CC7CB8" w:rsidP="004607FE">
      <w:pPr>
        <w:tabs>
          <w:tab w:val="left" w:pos="709"/>
          <w:tab w:val="center" w:pos="4771"/>
        </w:tabs>
        <w:ind w:firstLine="709"/>
        <w:jc w:val="both"/>
      </w:pPr>
    </w:p>
    <w:p w14:paraId="34A34286" w14:textId="77777777" w:rsidR="009C171F" w:rsidRPr="009C171F" w:rsidRDefault="009C17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BF122" w14:textId="77777777" w:rsidR="009C171F" w:rsidRDefault="009C17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9E991D" w14:textId="77777777" w:rsidR="00286976" w:rsidRDefault="00286976"/>
    <w:sectPr w:rsidR="00286976" w:rsidSect="00CB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1F"/>
    <w:rsid w:val="00127F76"/>
    <w:rsid w:val="002814DA"/>
    <w:rsid w:val="00286976"/>
    <w:rsid w:val="004607FE"/>
    <w:rsid w:val="00695A02"/>
    <w:rsid w:val="006A5621"/>
    <w:rsid w:val="009C171F"/>
    <w:rsid w:val="00C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9576"/>
  <w15:chartTrackingRefBased/>
  <w15:docId w15:val="{583DA435-AE9E-4D27-ABA1-400B85B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17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1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46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r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hyperlink" Target="https://lkfl2.nalog.ru/lkfl" TargetMode="External"/><Relationship Id="rId4" Type="http://schemas.openxmlformats.org/officeDocument/2006/relationships/hyperlink" Target="https://login.consultant.ru/link/?req=doc&amp;base=LAW&amp;n=4696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Эксперт</cp:lastModifiedBy>
  <cp:revision>2</cp:revision>
  <dcterms:created xsi:type="dcterms:W3CDTF">2025-04-16T10:56:00Z</dcterms:created>
  <dcterms:modified xsi:type="dcterms:W3CDTF">2025-04-16T10:56:00Z</dcterms:modified>
</cp:coreProperties>
</file>