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8C27C" w14:textId="6F15106A" w:rsidR="003709A1" w:rsidRPr="00D1099F" w:rsidRDefault="00D1099F" w:rsidP="00D109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099F">
        <w:rPr>
          <w:rFonts w:ascii="Times New Roman" w:hAnsi="Times New Roman" w:cs="Times New Roman"/>
          <w:sz w:val="28"/>
          <w:szCs w:val="28"/>
        </w:rPr>
        <w:t>Меры стимулирования добросовестности контролируемых лиц не применяется</w:t>
      </w:r>
    </w:p>
    <w:sectPr w:rsidR="003709A1" w:rsidRPr="00D1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9F"/>
    <w:rsid w:val="00196266"/>
    <w:rsid w:val="003709A1"/>
    <w:rsid w:val="00D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ED74"/>
  <w15:chartTrackingRefBased/>
  <w15:docId w15:val="{F82F6A4E-4BE0-4BB0-88DE-C5931675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Галяева Елена Александровна</dc:creator>
  <cp:keywords/>
  <dc:description/>
  <cp:lastModifiedBy>Эксперт</cp:lastModifiedBy>
  <cp:revision>2</cp:revision>
  <dcterms:created xsi:type="dcterms:W3CDTF">2024-07-19T06:37:00Z</dcterms:created>
  <dcterms:modified xsi:type="dcterms:W3CDTF">2024-07-19T06:37:00Z</dcterms:modified>
</cp:coreProperties>
</file>